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0A" w:rsidRPr="0045130A" w:rsidRDefault="0045130A" w:rsidP="0045130A"/>
    <w:tbl>
      <w:tblPr>
        <w:tblStyle w:val="TableGrid"/>
        <w:tblW w:w="15726" w:type="dxa"/>
        <w:tblLook w:val="04A0" w:firstRow="1" w:lastRow="0" w:firstColumn="1" w:lastColumn="0" w:noHBand="0" w:noVBand="1"/>
      </w:tblPr>
      <w:tblGrid>
        <w:gridCol w:w="3227"/>
        <w:gridCol w:w="5386"/>
        <w:gridCol w:w="3181"/>
        <w:gridCol w:w="3932"/>
      </w:tblGrid>
      <w:tr w:rsidR="0045130A" w:rsidTr="00DC7930">
        <w:trPr>
          <w:trHeight w:val="366"/>
        </w:trPr>
        <w:tc>
          <w:tcPr>
            <w:tcW w:w="3227" w:type="dxa"/>
            <w:shd w:val="clear" w:color="auto" w:fill="E5B8B7" w:themeFill="accent2" w:themeFillTint="66"/>
          </w:tcPr>
          <w:p w:rsidR="0045130A" w:rsidRPr="00AC4086" w:rsidRDefault="0045130A" w:rsidP="0045130A">
            <w:pPr>
              <w:jc w:val="center"/>
              <w:rPr>
                <w:b/>
              </w:rPr>
            </w:pPr>
            <w:r w:rsidRPr="00AC4086">
              <w:rPr>
                <w:b/>
              </w:rPr>
              <w:t>Unit Focus</w:t>
            </w:r>
          </w:p>
        </w:tc>
        <w:tc>
          <w:tcPr>
            <w:tcW w:w="5386" w:type="dxa"/>
            <w:shd w:val="clear" w:color="auto" w:fill="E5B8B7" w:themeFill="accent2" w:themeFillTint="66"/>
          </w:tcPr>
          <w:p w:rsidR="0045130A" w:rsidRPr="00AC4086" w:rsidRDefault="0045130A" w:rsidP="0045130A">
            <w:pPr>
              <w:jc w:val="center"/>
            </w:pPr>
            <w:r>
              <w:t>Overview</w:t>
            </w:r>
          </w:p>
        </w:tc>
        <w:tc>
          <w:tcPr>
            <w:tcW w:w="3181" w:type="dxa"/>
            <w:shd w:val="clear" w:color="auto" w:fill="E5B8B7" w:themeFill="accent2" w:themeFillTint="66"/>
          </w:tcPr>
          <w:p w:rsidR="0045130A" w:rsidRPr="00AC4086" w:rsidRDefault="0045130A" w:rsidP="0045130A">
            <w:pPr>
              <w:jc w:val="center"/>
            </w:pPr>
            <w:r w:rsidRPr="00AC4086">
              <w:t>Assessment Task Title</w:t>
            </w:r>
          </w:p>
        </w:tc>
        <w:tc>
          <w:tcPr>
            <w:tcW w:w="3932" w:type="dxa"/>
            <w:shd w:val="clear" w:color="auto" w:fill="E5B8B7" w:themeFill="accent2" w:themeFillTint="66"/>
          </w:tcPr>
          <w:p w:rsidR="0045130A" w:rsidRPr="00AC4086" w:rsidRDefault="0045130A" w:rsidP="0045130A">
            <w:pPr>
              <w:jc w:val="center"/>
            </w:pPr>
            <w:r>
              <w:t>Key texts</w:t>
            </w:r>
          </w:p>
        </w:tc>
      </w:tr>
      <w:tr w:rsidR="00DC7930" w:rsidTr="00DC7930">
        <w:trPr>
          <w:trHeight w:val="2954"/>
        </w:trPr>
        <w:tc>
          <w:tcPr>
            <w:tcW w:w="3227" w:type="dxa"/>
            <w:shd w:val="clear" w:color="auto" w:fill="E5B8B7" w:themeFill="accent2" w:themeFillTint="66"/>
          </w:tcPr>
          <w:p w:rsidR="00DC7930" w:rsidRPr="00823FA2" w:rsidRDefault="00DC7930" w:rsidP="009518F1">
            <w:pPr>
              <w:spacing w:after="100" w:afterAutospacing="1"/>
              <w:jc w:val="center"/>
              <w:rPr>
                <w:b/>
                <w:color w:val="FF0000"/>
                <w:szCs w:val="24"/>
              </w:rPr>
            </w:pPr>
            <w:r w:rsidRPr="00AC4086">
              <w:rPr>
                <w:b/>
                <w:color w:val="FF0000"/>
                <w:szCs w:val="24"/>
              </w:rPr>
              <w:t>Autumn 1</w:t>
            </w:r>
            <w:r>
              <w:rPr>
                <w:b/>
                <w:color w:val="FF0000"/>
                <w:szCs w:val="24"/>
              </w:rPr>
              <w:t xml:space="preserve">: </w:t>
            </w:r>
            <w:r>
              <w:rPr>
                <w:b/>
                <w:color w:val="000000" w:themeColor="text1"/>
                <w:szCs w:val="24"/>
              </w:rPr>
              <w:t>Dr Jekyll and Mr Hyde</w:t>
            </w:r>
          </w:p>
          <w:p w:rsidR="00DC7930" w:rsidRPr="00823FA2" w:rsidRDefault="00DC7930" w:rsidP="009518F1">
            <w:pPr>
              <w:spacing w:after="100" w:afterAutospacing="1"/>
              <w:jc w:val="center"/>
              <w:rPr>
                <w:b/>
                <w:color w:val="FF0000"/>
                <w:szCs w:val="24"/>
              </w:rPr>
            </w:pPr>
            <w:r>
              <w:rPr>
                <w:b/>
                <w:color w:val="FF0000"/>
                <w:szCs w:val="24"/>
              </w:rPr>
              <w:t xml:space="preserve">Autumn 2: </w:t>
            </w:r>
            <w:r>
              <w:rPr>
                <w:b/>
                <w:color w:val="000000" w:themeColor="text1"/>
                <w:szCs w:val="24"/>
              </w:rPr>
              <w:t>Dr Jekyll and Mr Hyde</w:t>
            </w:r>
          </w:p>
        </w:tc>
        <w:tc>
          <w:tcPr>
            <w:tcW w:w="5386" w:type="dxa"/>
            <w:shd w:val="clear" w:color="auto" w:fill="E5B8B7" w:themeFill="accent2" w:themeFillTint="66"/>
          </w:tcPr>
          <w:p w:rsidR="00DC7930" w:rsidRDefault="00DC7930" w:rsidP="009518F1">
            <w:pPr>
              <w:rPr>
                <w:color w:val="000000" w:themeColor="text1"/>
                <w:szCs w:val="24"/>
              </w:rPr>
            </w:pPr>
            <w:r>
              <w:rPr>
                <w:color w:val="000000" w:themeColor="text1"/>
                <w:szCs w:val="24"/>
              </w:rPr>
              <w:t xml:space="preserve">Similar to the format of the Macbeth exam, students will be given a select extract from the novel and asked to respond to a task using the extract and the wider novel. Students are assessed on their understanding and interpretations as a whole, analysis of language and structure, and understanding of context. The exam is closed book, so although the whole text should be covered with students, the focus of teaching should primarily be on pivotal moments within the text. </w:t>
            </w:r>
          </w:p>
          <w:p w:rsidR="00DC7930" w:rsidRPr="00AC4086" w:rsidRDefault="00DC7930" w:rsidP="00DC7930">
            <w:pPr>
              <w:rPr>
                <w:color w:val="000000" w:themeColor="text1"/>
                <w:szCs w:val="24"/>
              </w:rPr>
            </w:pPr>
            <w:r>
              <w:rPr>
                <w:color w:val="000000" w:themeColor="text1"/>
                <w:szCs w:val="24"/>
              </w:rPr>
              <w:t xml:space="preserve">The curriculum time allows for revision and referencing back to key units studied this year, so teachers may wish to begin some focus on non-fiction texts or creative writing tasks, which will then be looked at more explicitly in the following term.  </w:t>
            </w:r>
          </w:p>
        </w:tc>
        <w:tc>
          <w:tcPr>
            <w:tcW w:w="3181" w:type="dxa"/>
            <w:shd w:val="clear" w:color="auto" w:fill="E5B8B7" w:themeFill="accent2" w:themeFillTint="66"/>
          </w:tcPr>
          <w:p w:rsidR="00DC7930" w:rsidRPr="00B46F4F" w:rsidRDefault="00DC7930" w:rsidP="009518F1">
            <w:pPr>
              <w:rPr>
                <w:sz w:val="20"/>
              </w:rPr>
            </w:pPr>
            <w:r>
              <w:rPr>
                <w:sz w:val="20"/>
              </w:rPr>
              <w:t xml:space="preserve">Read extract from </w:t>
            </w:r>
            <w:r w:rsidRPr="00B46F4F">
              <w:rPr>
                <w:sz w:val="20"/>
              </w:rPr>
              <w:t>chapter two and respond to:</w:t>
            </w:r>
          </w:p>
          <w:p w:rsidR="00DC7930" w:rsidRPr="009518F1" w:rsidRDefault="00DC7930" w:rsidP="009518F1">
            <w:pPr>
              <w:rPr>
                <w:sz w:val="20"/>
              </w:rPr>
            </w:pPr>
            <w:r w:rsidRPr="00B46F4F">
              <w:rPr>
                <w:sz w:val="20"/>
              </w:rPr>
              <w:t>Starting with this extract how does Stevenson present Mr Hyde as a frightening outsider?</w:t>
            </w:r>
          </w:p>
        </w:tc>
        <w:tc>
          <w:tcPr>
            <w:tcW w:w="3932" w:type="dxa"/>
            <w:shd w:val="clear" w:color="auto" w:fill="E5B8B7" w:themeFill="accent2" w:themeFillTint="66"/>
          </w:tcPr>
          <w:p w:rsidR="00DC7930" w:rsidRPr="00674BA2" w:rsidRDefault="00DC7930" w:rsidP="009518F1">
            <w:pPr>
              <w:pStyle w:val="ListParagraph"/>
              <w:numPr>
                <w:ilvl w:val="0"/>
                <w:numId w:val="1"/>
              </w:numPr>
              <w:contextualSpacing w:val="0"/>
              <w:rPr>
                <w:sz w:val="20"/>
              </w:rPr>
            </w:pPr>
            <w:r w:rsidRPr="00674BA2">
              <w:rPr>
                <w:sz w:val="20"/>
              </w:rPr>
              <w:t xml:space="preserve">Browning, </w:t>
            </w:r>
            <w:r w:rsidRPr="00674BA2">
              <w:rPr>
                <w:i/>
                <w:sz w:val="20"/>
              </w:rPr>
              <w:t>Porphyria’s Lover</w:t>
            </w:r>
            <w:r w:rsidRPr="00674BA2">
              <w:rPr>
                <w:sz w:val="20"/>
              </w:rPr>
              <w:t xml:space="preserve"> [presentation of madness, obsession and punishment]</w:t>
            </w:r>
          </w:p>
          <w:p w:rsidR="00DC7930" w:rsidRPr="00674BA2" w:rsidRDefault="00DC7930" w:rsidP="009518F1">
            <w:pPr>
              <w:pStyle w:val="ListParagraph"/>
              <w:numPr>
                <w:ilvl w:val="0"/>
                <w:numId w:val="1"/>
              </w:numPr>
              <w:contextualSpacing w:val="0"/>
              <w:rPr>
                <w:sz w:val="20"/>
              </w:rPr>
            </w:pPr>
            <w:r w:rsidRPr="00674BA2">
              <w:rPr>
                <w:sz w:val="20"/>
              </w:rPr>
              <w:t>19</w:t>
            </w:r>
            <w:r w:rsidRPr="00674BA2">
              <w:rPr>
                <w:sz w:val="20"/>
                <w:vertAlign w:val="superscript"/>
              </w:rPr>
              <w:t>th</w:t>
            </w:r>
            <w:r w:rsidRPr="00674BA2">
              <w:rPr>
                <w:sz w:val="20"/>
              </w:rPr>
              <w:t xml:space="preserve"> c non-fiction texts on grave robbing</w:t>
            </w:r>
          </w:p>
          <w:p w:rsidR="00DC7930" w:rsidRPr="00674BA2" w:rsidRDefault="00DC7930" w:rsidP="009518F1">
            <w:pPr>
              <w:pStyle w:val="ListParagraph"/>
              <w:numPr>
                <w:ilvl w:val="0"/>
                <w:numId w:val="1"/>
              </w:numPr>
              <w:contextualSpacing w:val="0"/>
              <w:rPr>
                <w:sz w:val="20"/>
              </w:rPr>
            </w:pPr>
            <w:r w:rsidRPr="00674BA2">
              <w:rPr>
                <w:sz w:val="20"/>
              </w:rPr>
              <w:t xml:space="preserve">Nonfiction articles on the Whitechapel murders </w:t>
            </w:r>
          </w:p>
        </w:tc>
      </w:tr>
      <w:tr w:rsidR="009518F1" w:rsidTr="00DC7930">
        <w:trPr>
          <w:trHeight w:val="800"/>
        </w:trPr>
        <w:tc>
          <w:tcPr>
            <w:tcW w:w="3227" w:type="dxa"/>
            <w:shd w:val="clear" w:color="auto" w:fill="E5B8B7" w:themeFill="accent2" w:themeFillTint="66"/>
          </w:tcPr>
          <w:p w:rsidR="009518F1" w:rsidRDefault="009518F1" w:rsidP="009518F1">
            <w:pPr>
              <w:jc w:val="center"/>
              <w:rPr>
                <w:b/>
                <w:color w:val="FF0000"/>
                <w:szCs w:val="24"/>
              </w:rPr>
            </w:pPr>
            <w:r>
              <w:rPr>
                <w:b/>
                <w:color w:val="FF0000"/>
                <w:szCs w:val="24"/>
              </w:rPr>
              <w:t xml:space="preserve">Spring 1: </w:t>
            </w:r>
          </w:p>
          <w:p w:rsidR="009518F1" w:rsidRDefault="009518F1" w:rsidP="009518F1">
            <w:pPr>
              <w:jc w:val="center"/>
              <w:rPr>
                <w:b/>
                <w:color w:val="000000" w:themeColor="text1"/>
                <w:szCs w:val="24"/>
              </w:rPr>
            </w:pPr>
            <w:r>
              <w:rPr>
                <w:b/>
                <w:color w:val="000000" w:themeColor="text1"/>
                <w:szCs w:val="24"/>
              </w:rPr>
              <w:t xml:space="preserve">Language Paper 1- </w:t>
            </w:r>
            <w:r w:rsidR="00DC7930">
              <w:rPr>
                <w:b/>
                <w:color w:val="000000" w:themeColor="text1"/>
                <w:szCs w:val="24"/>
              </w:rPr>
              <w:t>two</w:t>
            </w:r>
            <w:r>
              <w:rPr>
                <w:b/>
                <w:color w:val="000000" w:themeColor="text1"/>
                <w:szCs w:val="24"/>
              </w:rPr>
              <w:t xml:space="preserve"> weeks </w:t>
            </w:r>
          </w:p>
          <w:p w:rsidR="009518F1" w:rsidRPr="00B03AFB" w:rsidRDefault="009518F1" w:rsidP="00DC7930">
            <w:pPr>
              <w:jc w:val="center"/>
              <w:rPr>
                <w:b/>
                <w:color w:val="000000" w:themeColor="text1"/>
                <w:szCs w:val="24"/>
              </w:rPr>
            </w:pPr>
            <w:r>
              <w:rPr>
                <w:b/>
                <w:color w:val="000000" w:themeColor="text1"/>
                <w:szCs w:val="24"/>
              </w:rPr>
              <w:t xml:space="preserve">Lang Paper 2- </w:t>
            </w:r>
            <w:r w:rsidR="00DC7930">
              <w:rPr>
                <w:b/>
                <w:color w:val="000000" w:themeColor="text1"/>
                <w:szCs w:val="24"/>
              </w:rPr>
              <w:t>four</w:t>
            </w:r>
            <w:r>
              <w:rPr>
                <w:b/>
                <w:color w:val="000000" w:themeColor="text1"/>
                <w:szCs w:val="24"/>
              </w:rPr>
              <w:t xml:space="preserve"> weeks</w:t>
            </w:r>
          </w:p>
        </w:tc>
        <w:tc>
          <w:tcPr>
            <w:tcW w:w="5386" w:type="dxa"/>
            <w:shd w:val="clear" w:color="auto" w:fill="E5B8B7" w:themeFill="accent2" w:themeFillTint="66"/>
          </w:tcPr>
          <w:p w:rsidR="009518F1" w:rsidRDefault="00DC7930" w:rsidP="009518F1">
            <w:r>
              <w:t xml:space="preserve">Students will be returning to the Language GCSE in this time to revise the key skills required for each paper. There is slightly more time given over to Paper 2, Writer’s Viewpoints and Perspectives, owing to the condensed time frame in which this was taught in Year 10. The key focus will be on explicitly teaching language analysis and writing for purpose, with accuracy.  </w:t>
            </w:r>
          </w:p>
        </w:tc>
        <w:tc>
          <w:tcPr>
            <w:tcW w:w="3181" w:type="dxa"/>
            <w:shd w:val="clear" w:color="auto" w:fill="E5B8B7" w:themeFill="accent2" w:themeFillTint="66"/>
          </w:tcPr>
          <w:p w:rsidR="009518F1" w:rsidRDefault="00DC7930" w:rsidP="009518F1">
            <w:r>
              <w:t xml:space="preserve">Specimen tasks to be provided using new AQA papers. </w:t>
            </w:r>
          </w:p>
        </w:tc>
        <w:tc>
          <w:tcPr>
            <w:tcW w:w="3932" w:type="dxa"/>
            <w:shd w:val="clear" w:color="auto" w:fill="E5B8B7" w:themeFill="accent2" w:themeFillTint="66"/>
          </w:tcPr>
          <w:p w:rsidR="009518F1" w:rsidRDefault="009518F1" w:rsidP="009518F1"/>
        </w:tc>
      </w:tr>
      <w:tr w:rsidR="009518F1" w:rsidTr="00DC7930">
        <w:trPr>
          <w:trHeight w:val="857"/>
        </w:trPr>
        <w:tc>
          <w:tcPr>
            <w:tcW w:w="3227" w:type="dxa"/>
            <w:shd w:val="clear" w:color="auto" w:fill="E5B8B7" w:themeFill="accent2" w:themeFillTint="66"/>
          </w:tcPr>
          <w:p w:rsidR="009518F1" w:rsidRDefault="009518F1" w:rsidP="009518F1">
            <w:pPr>
              <w:jc w:val="center"/>
              <w:rPr>
                <w:b/>
                <w:color w:val="FF0000"/>
                <w:szCs w:val="24"/>
              </w:rPr>
            </w:pPr>
            <w:r w:rsidRPr="00AC4086">
              <w:rPr>
                <w:b/>
                <w:color w:val="FF0000"/>
                <w:szCs w:val="24"/>
              </w:rPr>
              <w:t>Spring 2</w:t>
            </w:r>
          </w:p>
          <w:p w:rsidR="009518F1" w:rsidRDefault="009518F1" w:rsidP="009518F1">
            <w:pPr>
              <w:jc w:val="center"/>
              <w:rPr>
                <w:b/>
                <w:color w:val="000000" w:themeColor="text1"/>
                <w:szCs w:val="24"/>
              </w:rPr>
            </w:pPr>
            <w:r>
              <w:rPr>
                <w:b/>
                <w:color w:val="000000" w:themeColor="text1"/>
                <w:szCs w:val="24"/>
              </w:rPr>
              <w:t>Poetry- 2 weeks revision</w:t>
            </w:r>
          </w:p>
          <w:p w:rsidR="009518F1" w:rsidRDefault="009518F1" w:rsidP="009518F1">
            <w:pPr>
              <w:jc w:val="center"/>
              <w:rPr>
                <w:b/>
                <w:color w:val="000000" w:themeColor="text1"/>
                <w:szCs w:val="24"/>
              </w:rPr>
            </w:pPr>
            <w:r>
              <w:rPr>
                <w:b/>
                <w:color w:val="000000" w:themeColor="text1"/>
                <w:szCs w:val="24"/>
              </w:rPr>
              <w:t>AIC -2 weeks revision</w:t>
            </w:r>
          </w:p>
          <w:p w:rsidR="009518F1" w:rsidRPr="00AC4086" w:rsidRDefault="009518F1" w:rsidP="009518F1">
            <w:pPr>
              <w:jc w:val="center"/>
              <w:rPr>
                <w:b/>
                <w:color w:val="000000" w:themeColor="text1"/>
                <w:szCs w:val="24"/>
              </w:rPr>
            </w:pPr>
            <w:r>
              <w:rPr>
                <w:b/>
                <w:color w:val="000000" w:themeColor="text1"/>
                <w:szCs w:val="24"/>
              </w:rPr>
              <w:t>Macbeth- 2 weeks revision</w:t>
            </w:r>
          </w:p>
        </w:tc>
        <w:tc>
          <w:tcPr>
            <w:tcW w:w="5386" w:type="dxa"/>
            <w:shd w:val="clear" w:color="auto" w:fill="E5B8B7" w:themeFill="accent2" w:themeFillTint="66"/>
          </w:tcPr>
          <w:p w:rsidR="009518F1" w:rsidRDefault="00DC7930" w:rsidP="009518F1">
            <w:r>
              <w:t xml:space="preserve">Revision resourcing to follow. </w:t>
            </w:r>
          </w:p>
        </w:tc>
        <w:tc>
          <w:tcPr>
            <w:tcW w:w="3181" w:type="dxa"/>
            <w:shd w:val="clear" w:color="auto" w:fill="E5B8B7" w:themeFill="accent2" w:themeFillTint="66"/>
          </w:tcPr>
          <w:p w:rsidR="009518F1" w:rsidRDefault="00DC7930" w:rsidP="009518F1">
            <w:r>
              <w:t xml:space="preserve">How are loving feelings presented in </w:t>
            </w:r>
            <w:r>
              <w:rPr>
                <w:i/>
              </w:rPr>
              <w:t>Love’s Philosophy</w:t>
            </w:r>
            <w:r>
              <w:t xml:space="preserve"> and one other poem?</w:t>
            </w:r>
          </w:p>
          <w:p w:rsidR="00DC7930" w:rsidRDefault="00DC7930" w:rsidP="009518F1">
            <w:r>
              <w:t xml:space="preserve">How is inequality presented in </w:t>
            </w:r>
            <w:r>
              <w:rPr>
                <w:i/>
              </w:rPr>
              <w:t>An Inspector Calls</w:t>
            </w:r>
            <w:r>
              <w:t>?</w:t>
            </w:r>
          </w:p>
          <w:p w:rsidR="00DC7930" w:rsidRPr="00DC7930" w:rsidRDefault="00DC7930" w:rsidP="009518F1">
            <w:r>
              <w:t>How does Shakespeare present Lady Macbeth as powerful?</w:t>
            </w:r>
          </w:p>
        </w:tc>
        <w:tc>
          <w:tcPr>
            <w:tcW w:w="3932" w:type="dxa"/>
            <w:shd w:val="clear" w:color="auto" w:fill="E5B8B7" w:themeFill="accent2" w:themeFillTint="66"/>
          </w:tcPr>
          <w:p w:rsidR="009518F1" w:rsidRDefault="009518F1" w:rsidP="009518F1"/>
        </w:tc>
      </w:tr>
      <w:tr w:rsidR="009518F1" w:rsidTr="00DC7930">
        <w:trPr>
          <w:trHeight w:val="827"/>
        </w:trPr>
        <w:tc>
          <w:tcPr>
            <w:tcW w:w="3227" w:type="dxa"/>
            <w:shd w:val="clear" w:color="auto" w:fill="E5B8B7" w:themeFill="accent2" w:themeFillTint="66"/>
          </w:tcPr>
          <w:p w:rsidR="009518F1" w:rsidRDefault="009518F1" w:rsidP="009518F1">
            <w:pPr>
              <w:jc w:val="center"/>
              <w:rPr>
                <w:b/>
                <w:color w:val="FF0000"/>
                <w:szCs w:val="24"/>
              </w:rPr>
            </w:pPr>
            <w:r w:rsidRPr="00AC4086">
              <w:rPr>
                <w:b/>
                <w:color w:val="FF0000"/>
                <w:szCs w:val="24"/>
              </w:rPr>
              <w:t>Summer 1</w:t>
            </w:r>
            <w:r>
              <w:rPr>
                <w:b/>
                <w:color w:val="FF0000"/>
                <w:szCs w:val="24"/>
              </w:rPr>
              <w:t xml:space="preserve">: </w:t>
            </w:r>
          </w:p>
          <w:p w:rsidR="009518F1" w:rsidRPr="00823FA2" w:rsidRDefault="009518F1" w:rsidP="009518F1">
            <w:pPr>
              <w:jc w:val="center"/>
              <w:rPr>
                <w:b/>
                <w:color w:val="FF0000"/>
                <w:szCs w:val="24"/>
              </w:rPr>
            </w:pPr>
            <w:r>
              <w:rPr>
                <w:b/>
                <w:color w:val="000000" w:themeColor="text1"/>
                <w:szCs w:val="24"/>
              </w:rPr>
              <w:t>EXAMS</w:t>
            </w:r>
          </w:p>
        </w:tc>
        <w:tc>
          <w:tcPr>
            <w:tcW w:w="5386" w:type="dxa"/>
            <w:shd w:val="clear" w:color="auto" w:fill="E5B8B7" w:themeFill="accent2" w:themeFillTint="66"/>
          </w:tcPr>
          <w:p w:rsidR="009518F1" w:rsidRDefault="009518F1" w:rsidP="009518F1"/>
        </w:tc>
        <w:tc>
          <w:tcPr>
            <w:tcW w:w="3181" w:type="dxa"/>
            <w:shd w:val="clear" w:color="auto" w:fill="E5B8B7" w:themeFill="accent2" w:themeFillTint="66"/>
          </w:tcPr>
          <w:p w:rsidR="009518F1" w:rsidRDefault="009518F1" w:rsidP="009518F1"/>
        </w:tc>
        <w:tc>
          <w:tcPr>
            <w:tcW w:w="3932" w:type="dxa"/>
            <w:shd w:val="clear" w:color="auto" w:fill="E5B8B7" w:themeFill="accent2" w:themeFillTint="66"/>
          </w:tcPr>
          <w:p w:rsidR="009518F1" w:rsidRDefault="009518F1" w:rsidP="009518F1"/>
        </w:tc>
      </w:tr>
      <w:tr w:rsidR="009518F1" w:rsidTr="00DC7930">
        <w:trPr>
          <w:trHeight w:val="552"/>
        </w:trPr>
        <w:tc>
          <w:tcPr>
            <w:tcW w:w="3227" w:type="dxa"/>
            <w:shd w:val="clear" w:color="auto" w:fill="E5B8B7" w:themeFill="accent2" w:themeFillTint="66"/>
          </w:tcPr>
          <w:p w:rsidR="009518F1" w:rsidRPr="00AC4086" w:rsidRDefault="009518F1" w:rsidP="009518F1">
            <w:pPr>
              <w:jc w:val="center"/>
              <w:rPr>
                <w:b/>
                <w:color w:val="FF0000"/>
                <w:szCs w:val="24"/>
              </w:rPr>
            </w:pPr>
            <w:r w:rsidRPr="00AC4086">
              <w:rPr>
                <w:b/>
                <w:color w:val="FF0000"/>
                <w:szCs w:val="24"/>
              </w:rPr>
              <w:t>Summer 2</w:t>
            </w:r>
          </w:p>
          <w:p w:rsidR="009518F1" w:rsidRPr="00AC4086" w:rsidRDefault="009518F1" w:rsidP="009518F1">
            <w:pPr>
              <w:jc w:val="center"/>
              <w:rPr>
                <w:b/>
                <w:color w:val="000000" w:themeColor="text1"/>
                <w:szCs w:val="24"/>
              </w:rPr>
            </w:pPr>
            <w:r>
              <w:rPr>
                <w:b/>
                <w:color w:val="000000" w:themeColor="text1"/>
                <w:szCs w:val="24"/>
              </w:rPr>
              <w:t>EXAMS</w:t>
            </w:r>
          </w:p>
        </w:tc>
        <w:tc>
          <w:tcPr>
            <w:tcW w:w="5386" w:type="dxa"/>
            <w:shd w:val="clear" w:color="auto" w:fill="E5B8B7" w:themeFill="accent2" w:themeFillTint="66"/>
          </w:tcPr>
          <w:p w:rsidR="009518F1" w:rsidRDefault="009518F1" w:rsidP="009518F1"/>
        </w:tc>
        <w:tc>
          <w:tcPr>
            <w:tcW w:w="3181" w:type="dxa"/>
            <w:shd w:val="clear" w:color="auto" w:fill="E5B8B7" w:themeFill="accent2" w:themeFillTint="66"/>
          </w:tcPr>
          <w:p w:rsidR="009518F1" w:rsidRDefault="009518F1" w:rsidP="009518F1"/>
        </w:tc>
        <w:tc>
          <w:tcPr>
            <w:tcW w:w="3932" w:type="dxa"/>
            <w:shd w:val="clear" w:color="auto" w:fill="E5B8B7" w:themeFill="accent2" w:themeFillTint="66"/>
          </w:tcPr>
          <w:p w:rsidR="009518F1" w:rsidRDefault="009518F1" w:rsidP="009518F1"/>
        </w:tc>
      </w:tr>
    </w:tbl>
    <w:p w:rsidR="0045130A" w:rsidRPr="0045130A" w:rsidRDefault="0045130A" w:rsidP="0045130A">
      <w:bookmarkStart w:id="0" w:name="_GoBack"/>
      <w:bookmarkEnd w:id="0"/>
    </w:p>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Pr>
        <w:tabs>
          <w:tab w:val="left" w:pos="6321"/>
        </w:tabs>
        <w:rPr>
          <w:sz w:val="20"/>
        </w:rPr>
      </w:pPr>
      <w:r w:rsidRPr="0045130A">
        <w:rPr>
          <w:sz w:val="20"/>
        </w:rPr>
        <w:tab/>
      </w:r>
    </w:p>
    <w:p w:rsidR="00F8677D" w:rsidRPr="0045130A" w:rsidRDefault="00F8677D" w:rsidP="0045130A"/>
    <w:sectPr w:rsidR="00F8677D" w:rsidRPr="0045130A" w:rsidSect="0045130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0A" w:rsidRDefault="0045130A" w:rsidP="0045130A">
      <w:pPr>
        <w:spacing w:after="0" w:line="240" w:lineRule="auto"/>
      </w:pPr>
      <w:r>
        <w:separator/>
      </w:r>
    </w:p>
  </w:endnote>
  <w:endnote w:type="continuationSeparator" w:id="0">
    <w:p w:rsidR="0045130A" w:rsidRDefault="0045130A" w:rsidP="004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0A" w:rsidRDefault="0045130A" w:rsidP="0045130A">
      <w:pPr>
        <w:spacing w:after="0" w:line="240" w:lineRule="auto"/>
      </w:pPr>
      <w:r>
        <w:separator/>
      </w:r>
    </w:p>
  </w:footnote>
  <w:footnote w:type="continuationSeparator" w:id="0">
    <w:p w:rsidR="0045130A" w:rsidRDefault="0045130A" w:rsidP="0045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0A" w:rsidRDefault="0045130A">
    <w:pPr>
      <w:pStyle w:val="Header"/>
    </w:pPr>
    <w:r>
      <w:t>2015-17 Year 10/ 11 Curriculum</w:t>
    </w:r>
  </w:p>
  <w:p w:rsidR="0045130A" w:rsidRDefault="00451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1B9D"/>
    <w:multiLevelType w:val="hybridMultilevel"/>
    <w:tmpl w:val="F83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0A"/>
    <w:rsid w:val="00001838"/>
    <w:rsid w:val="00037351"/>
    <w:rsid w:val="00122044"/>
    <w:rsid w:val="0045130A"/>
    <w:rsid w:val="00590C08"/>
    <w:rsid w:val="009518F1"/>
    <w:rsid w:val="00B03AFB"/>
    <w:rsid w:val="00C94609"/>
    <w:rsid w:val="00DC7930"/>
    <w:rsid w:val="00F8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30A"/>
    <w:pPr>
      <w:ind w:left="720"/>
      <w:contextualSpacing/>
    </w:pPr>
  </w:style>
  <w:style w:type="paragraph" w:styleId="Header">
    <w:name w:val="header"/>
    <w:basedOn w:val="Normal"/>
    <w:link w:val="HeaderChar"/>
    <w:uiPriority w:val="99"/>
    <w:unhideWhenUsed/>
    <w:rsid w:val="004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0A"/>
  </w:style>
  <w:style w:type="paragraph" w:styleId="Footer">
    <w:name w:val="footer"/>
    <w:basedOn w:val="Normal"/>
    <w:link w:val="FooterChar"/>
    <w:uiPriority w:val="99"/>
    <w:unhideWhenUsed/>
    <w:rsid w:val="004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0A"/>
  </w:style>
  <w:style w:type="paragraph" w:styleId="BalloonText">
    <w:name w:val="Balloon Text"/>
    <w:basedOn w:val="Normal"/>
    <w:link w:val="BalloonTextChar"/>
    <w:uiPriority w:val="99"/>
    <w:semiHidden/>
    <w:unhideWhenUsed/>
    <w:rsid w:val="004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30A"/>
    <w:pPr>
      <w:ind w:left="720"/>
      <w:contextualSpacing/>
    </w:pPr>
  </w:style>
  <w:style w:type="paragraph" w:styleId="Header">
    <w:name w:val="header"/>
    <w:basedOn w:val="Normal"/>
    <w:link w:val="HeaderChar"/>
    <w:uiPriority w:val="99"/>
    <w:unhideWhenUsed/>
    <w:rsid w:val="004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0A"/>
  </w:style>
  <w:style w:type="paragraph" w:styleId="Footer">
    <w:name w:val="footer"/>
    <w:basedOn w:val="Normal"/>
    <w:link w:val="FooterChar"/>
    <w:uiPriority w:val="99"/>
    <w:unhideWhenUsed/>
    <w:rsid w:val="004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0A"/>
  </w:style>
  <w:style w:type="paragraph" w:styleId="BalloonText">
    <w:name w:val="Balloon Text"/>
    <w:basedOn w:val="Normal"/>
    <w:link w:val="BalloonTextChar"/>
    <w:uiPriority w:val="99"/>
    <w:semiHidden/>
    <w:unhideWhenUsed/>
    <w:rsid w:val="004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Clark</dc:creator>
  <cp:lastModifiedBy>Alice Clark</cp:lastModifiedBy>
  <cp:revision>7</cp:revision>
  <dcterms:created xsi:type="dcterms:W3CDTF">2016-01-20T09:52:00Z</dcterms:created>
  <dcterms:modified xsi:type="dcterms:W3CDTF">2016-07-20T08:26:00Z</dcterms:modified>
</cp:coreProperties>
</file>